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C9" w:rsidRPr="00B770C9" w:rsidRDefault="00B770C9" w:rsidP="00B770C9">
      <w:pPr>
        <w:spacing w:after="75"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Decreto legislativo 5 febbraio 1997, n. 22</w:t>
      </w:r>
      <w:r w:rsidRPr="00B770C9">
        <w:rPr>
          <w:rFonts w:ascii="Times New Roman" w:eastAsia="Times New Roman" w:hAnsi="Times New Roman" w:cs="Times New Roman"/>
          <w:color w:val="002060"/>
          <w:sz w:val="24"/>
          <w:szCs w:val="24"/>
          <w:lang w:eastAsia="it-IT"/>
        </w:rPr>
        <w:br/>
        <w:t xml:space="preserve">Gazzetta Ufficiale Repubblica Italiana 15 febbraio 1997, n. 38 </w:t>
      </w:r>
      <w:r w:rsidRPr="00B770C9">
        <w:rPr>
          <w:rFonts w:ascii="Times New Roman" w:eastAsia="Times New Roman" w:hAnsi="Times New Roman" w:cs="Times New Roman"/>
          <w:color w:val="002060"/>
          <w:sz w:val="24"/>
          <w:szCs w:val="24"/>
          <w:lang w:eastAsia="it-IT"/>
        </w:rPr>
        <w:br/>
      </w:r>
      <w:r w:rsidRPr="00B770C9">
        <w:rPr>
          <w:rFonts w:ascii="Times New Roman" w:eastAsia="Times New Roman" w:hAnsi="Times New Roman" w:cs="Times New Roman"/>
          <w:color w:val="002060"/>
          <w:sz w:val="24"/>
          <w:szCs w:val="24"/>
          <w:lang w:eastAsia="it-IT"/>
        </w:rPr>
        <w:br/>
        <w:t xml:space="preserve">Attuazione delle </w:t>
      </w:r>
      <w:bookmarkStart w:id="0" w:name="_GoBack"/>
      <w:bookmarkEnd w:id="0"/>
      <w:r w:rsidRPr="00B770C9">
        <w:rPr>
          <w:rFonts w:ascii="Times New Roman" w:eastAsia="Times New Roman" w:hAnsi="Times New Roman" w:cs="Times New Roman"/>
          <w:color w:val="002060"/>
          <w:sz w:val="24"/>
          <w:szCs w:val="24"/>
          <w:lang w:eastAsia="it-IT"/>
        </w:rPr>
        <w:t>direttive 91/156/CEE sui rifiuti, 91/689/CEE sui rifiuti pericolosi e 94/62/CE sugli imballaggi e sui rifiuti di imballaggio. [Decreto Ronchi]</w:t>
      </w:r>
      <w:r w:rsidRPr="00B770C9">
        <w:rPr>
          <w:rFonts w:ascii="Times New Roman" w:eastAsia="Times New Roman" w:hAnsi="Times New Roman" w:cs="Times New Roman"/>
          <w:color w:val="002060"/>
          <w:sz w:val="24"/>
          <w:szCs w:val="24"/>
          <w:lang w:eastAsia="it-IT"/>
        </w:rPr>
        <w:br/>
        <w:t xml:space="preserve">Abrogato dall'art. 264 </w:t>
      </w:r>
      <w:proofErr w:type="spellStart"/>
      <w:r w:rsidRPr="00B770C9">
        <w:rPr>
          <w:rFonts w:ascii="Times New Roman" w:eastAsia="Times New Roman" w:hAnsi="Times New Roman" w:cs="Times New Roman"/>
          <w:color w:val="002060"/>
          <w:sz w:val="24"/>
          <w:szCs w:val="24"/>
          <w:lang w:eastAsia="it-IT"/>
        </w:rPr>
        <w:t>D.Lgs.</w:t>
      </w:r>
      <w:proofErr w:type="spellEnd"/>
      <w:r w:rsidRPr="00B770C9">
        <w:rPr>
          <w:rFonts w:ascii="Times New Roman" w:eastAsia="Times New Roman" w:hAnsi="Times New Roman" w:cs="Times New Roman"/>
          <w:color w:val="002060"/>
          <w:sz w:val="24"/>
          <w:szCs w:val="24"/>
          <w:lang w:eastAsia="it-IT"/>
        </w:rPr>
        <w:t xml:space="preserve"> 03.04.2006, n. 152, con decorrenza dal 29.04.2006</w:t>
      </w:r>
      <w:r w:rsidRPr="00B770C9">
        <w:rPr>
          <w:rFonts w:ascii="Times New Roman" w:eastAsia="Times New Roman" w:hAnsi="Times New Roman" w:cs="Times New Roman"/>
          <w:color w:val="002060"/>
          <w:sz w:val="24"/>
          <w:szCs w:val="24"/>
          <w:lang w:eastAsia="it-IT"/>
        </w:rPr>
        <w:br/>
      </w:r>
      <w:r w:rsidRPr="00B770C9">
        <w:rPr>
          <w:rFonts w:ascii="Times New Roman" w:eastAsia="Times New Roman" w:hAnsi="Times New Roman" w:cs="Times New Roman"/>
          <w:color w:val="002060"/>
          <w:sz w:val="24"/>
          <w:szCs w:val="24"/>
          <w:lang w:eastAsia="it-IT"/>
        </w:rPr>
        <w:br/>
        <w:t>TITOLO IV Tariffe per la gestione dei rifiuti urbani</w:t>
      </w:r>
      <w:r w:rsidRPr="00B770C9">
        <w:rPr>
          <w:rFonts w:ascii="Times New Roman" w:eastAsia="Times New Roman" w:hAnsi="Times New Roman" w:cs="Times New Roman"/>
          <w:color w:val="002060"/>
          <w:sz w:val="24"/>
          <w:szCs w:val="24"/>
          <w:lang w:eastAsia="it-IT"/>
        </w:rPr>
        <w:br/>
        <w:t xml:space="preserve">Articolo 49 </w:t>
      </w:r>
      <w:r w:rsidRPr="00B770C9">
        <w:rPr>
          <w:rFonts w:ascii="Times New Roman" w:eastAsia="Times New Roman" w:hAnsi="Times New Roman" w:cs="Times New Roman"/>
          <w:color w:val="002060"/>
          <w:sz w:val="24"/>
          <w:szCs w:val="24"/>
          <w:lang w:eastAsia="it-IT"/>
        </w:rPr>
        <w:br/>
        <w:t>Istituzione della tariffa</w:t>
      </w:r>
    </w:p>
    <w:p w:rsidR="00B770C9" w:rsidRPr="00B770C9" w:rsidRDefault="00B770C9" w:rsidP="00B770C9">
      <w:pPr>
        <w:spacing w:after="0" w:line="240" w:lineRule="auto"/>
        <w:rPr>
          <w:rFonts w:ascii="Times New Roman" w:eastAsia="Times New Roman" w:hAnsi="Times New Roman" w:cs="Times New Roman"/>
          <w:color w:val="002060"/>
          <w:sz w:val="24"/>
          <w:szCs w:val="24"/>
          <w:lang w:eastAsia="it-IT"/>
        </w:rPr>
      </w:pP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 xml:space="preserve">[1. La tassa per lo smaltimento dei rifiuti di cui alla </w:t>
      </w:r>
      <w:hyperlink r:id="rId5" w:history="1">
        <w:r w:rsidRPr="00B770C9">
          <w:rPr>
            <w:rFonts w:ascii="Times New Roman" w:eastAsia="Times New Roman" w:hAnsi="Times New Roman" w:cs="Times New Roman"/>
            <w:color w:val="002060"/>
            <w:sz w:val="24"/>
            <w:szCs w:val="24"/>
            <w:u w:val="single"/>
            <w:lang w:eastAsia="it-IT"/>
          </w:rPr>
          <w:t>sezione II</w:t>
        </w:r>
      </w:hyperlink>
      <w:r w:rsidRPr="00B770C9">
        <w:rPr>
          <w:rFonts w:ascii="Times New Roman" w:eastAsia="Times New Roman" w:hAnsi="Times New Roman" w:cs="Times New Roman"/>
          <w:color w:val="002060"/>
          <w:sz w:val="24"/>
          <w:szCs w:val="24"/>
          <w:lang w:eastAsia="it-IT"/>
        </w:rPr>
        <w:t xml:space="preserve"> dal Capo XVIII del titolo III del testo unico della finanza locale, approvato con regio decreto 14 settembre 1931, </w:t>
      </w:r>
      <w:hyperlink r:id="rId6" w:history="1">
        <w:r w:rsidRPr="00B770C9">
          <w:rPr>
            <w:rFonts w:ascii="Times New Roman" w:eastAsia="Times New Roman" w:hAnsi="Times New Roman" w:cs="Times New Roman"/>
            <w:color w:val="002060"/>
            <w:sz w:val="24"/>
            <w:szCs w:val="24"/>
            <w:u w:val="single"/>
            <w:lang w:eastAsia="it-IT"/>
          </w:rPr>
          <w:t>n. 1175</w:t>
        </w:r>
      </w:hyperlink>
      <w:r w:rsidRPr="00B770C9">
        <w:rPr>
          <w:rFonts w:ascii="Times New Roman" w:eastAsia="Times New Roman" w:hAnsi="Times New Roman" w:cs="Times New Roman"/>
          <w:color w:val="002060"/>
          <w:sz w:val="24"/>
          <w:szCs w:val="24"/>
          <w:lang w:eastAsia="it-IT"/>
        </w:rPr>
        <w:t>, come sostituito dall'</w:t>
      </w:r>
      <w:hyperlink r:id="rId7" w:history="1">
        <w:r w:rsidRPr="00B770C9">
          <w:rPr>
            <w:rFonts w:ascii="Times New Roman" w:eastAsia="Times New Roman" w:hAnsi="Times New Roman" w:cs="Times New Roman"/>
            <w:color w:val="002060"/>
            <w:sz w:val="24"/>
            <w:szCs w:val="24"/>
            <w:u w:val="single"/>
            <w:lang w:eastAsia="it-IT"/>
          </w:rPr>
          <w:t>articolo 21</w:t>
        </w:r>
      </w:hyperlink>
      <w:r w:rsidRPr="00B770C9">
        <w:rPr>
          <w:rFonts w:ascii="Times New Roman" w:eastAsia="Times New Roman" w:hAnsi="Times New Roman" w:cs="Times New Roman"/>
          <w:color w:val="002060"/>
          <w:sz w:val="24"/>
          <w:szCs w:val="24"/>
          <w:lang w:eastAsia="it-IT"/>
        </w:rPr>
        <w:t xml:space="preserve"> del decreto del Presidente della Repubblica 10 settembre 1982, n. 915, ed al </w:t>
      </w:r>
      <w:hyperlink r:id="rId8" w:history="1">
        <w:r w:rsidRPr="00B770C9">
          <w:rPr>
            <w:rFonts w:ascii="Times New Roman" w:eastAsia="Times New Roman" w:hAnsi="Times New Roman" w:cs="Times New Roman"/>
            <w:color w:val="002060"/>
            <w:sz w:val="24"/>
            <w:szCs w:val="24"/>
            <w:u w:val="single"/>
            <w:lang w:eastAsia="it-IT"/>
          </w:rPr>
          <w:t>capo III</w:t>
        </w:r>
      </w:hyperlink>
      <w:r w:rsidRPr="00B770C9">
        <w:rPr>
          <w:rFonts w:ascii="Times New Roman" w:eastAsia="Times New Roman" w:hAnsi="Times New Roman" w:cs="Times New Roman"/>
          <w:color w:val="002060"/>
          <w:sz w:val="24"/>
          <w:szCs w:val="24"/>
          <w:lang w:eastAsia="it-IT"/>
        </w:rPr>
        <w:t xml:space="preserve"> del </w:t>
      </w:r>
      <w:hyperlink r:id="rId9" w:history="1">
        <w:r w:rsidRPr="00B770C9">
          <w:rPr>
            <w:rFonts w:ascii="Times New Roman" w:eastAsia="Times New Roman" w:hAnsi="Times New Roman" w:cs="Times New Roman"/>
            <w:color w:val="002060"/>
            <w:sz w:val="24"/>
            <w:szCs w:val="24"/>
            <w:u w:val="single"/>
            <w:lang w:eastAsia="it-IT"/>
          </w:rPr>
          <w:t>decreto legislativo 15 novembre 1993, n. 507</w:t>
        </w:r>
      </w:hyperlink>
      <w:r w:rsidRPr="00B770C9">
        <w:rPr>
          <w:rFonts w:ascii="Times New Roman" w:eastAsia="Times New Roman" w:hAnsi="Times New Roman" w:cs="Times New Roman"/>
          <w:color w:val="002060"/>
          <w:sz w:val="24"/>
          <w:szCs w:val="24"/>
          <w:lang w:eastAsia="it-IT"/>
        </w:rPr>
        <w:t xml:space="preserve"> è soppressa a decorrere dai termini previsti dal regime transitorio, disciplinato dal regolamento di cui al comma 5, entro i quali i comuni devono provvedere alla integrale copertura dei costi del servizio di gestione dei rifiuti urbani attraverso la tariffa di cui al comma 2. (1) (3)</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1 bis. Resta, comunque, ferma la possibilità, in via sperimentale, per i comuni di deliberare l'applicazione della tariffa ai sensi del comma 16. (4)</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2. I costi per i servizi relativi alla gestione dei rifiuti urbani e dei rifiuti di qualunque natura o provenienza giacenti sulle strade ed aree pubbliche e soggette ad uso pubblico, sono coperti dai Comuni mediante l'istituzione di una tariffa.</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3. La tariffa deve essere applicata nei confronti di chiunque occupi oppure conduca locali, o aree scoperte ad uso privato non costituenti accessorio o pertinenza dei locali medesimi, a qualsiasi uso adibiti, esistenti nelle zone del territorio comunale.</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4. La tariffa è composta da una quota determinata in relazione alle componenti essenziali del costo del servizio, riferite in particolare agli investimenti per le opere e dai relativi ammortamenti, e da una quota rapportata alle quantità di rifiuti conferiti, al servizio fornito, e all'entità dei costi di gestione, in modo che sia assicurata la copertura integrale dei costi di investimento e di esercizio.</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4 bis. A decorrere dall'esercizio finanziario che precede i due anni dall'entrata in vigore della tariffa, i comuni sono tenuti ad approvare e a presentare all'Osservatorio nazionale sui rifiuti il piano finanziario e la relazione di cui all'</w:t>
      </w:r>
      <w:hyperlink r:id="rId10" w:history="1">
        <w:r w:rsidRPr="00B770C9">
          <w:rPr>
            <w:rFonts w:ascii="Times New Roman" w:eastAsia="Times New Roman" w:hAnsi="Times New Roman" w:cs="Times New Roman"/>
            <w:color w:val="002060"/>
            <w:sz w:val="24"/>
            <w:szCs w:val="24"/>
            <w:u w:val="single"/>
            <w:lang w:eastAsia="it-IT"/>
          </w:rPr>
          <w:t>articolo 8</w:t>
        </w:r>
      </w:hyperlink>
      <w:r w:rsidRPr="00B770C9">
        <w:rPr>
          <w:rFonts w:ascii="Times New Roman" w:eastAsia="Times New Roman" w:hAnsi="Times New Roman" w:cs="Times New Roman"/>
          <w:color w:val="002060"/>
          <w:sz w:val="24"/>
          <w:szCs w:val="24"/>
          <w:lang w:eastAsia="it-IT"/>
        </w:rPr>
        <w:t xml:space="preserve"> del decreto del Presidente della Repubblica 27 aprile 1999, n. 158. (4)</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5. Il Ministro dell'ambiente di concerto con il Ministro dell'industria, del commercio e dell'artigianato, sentita la Conferenza permanente per i rapporti tra lo Stato, le Regioni e le Province autonome di Trento e Bolzano elabora un metodo normalizzato per definire le componenti dei costi e determinare la tariffa di riferimento, prevedendo disposizioni transitorie per garantire la graduale applicazione del metodo normalizzato e della tariffa ed il graduale raggiungimento dell'integrale copertura dei costi del servizio di gestione dei rifiuti urbani da parte dei Comuni. (2)</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6. La tariffa di riferimento è articolata per fasce di utenza e territoriali.</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lastRenderedPageBreak/>
        <w:t>7. La tariffa di riferimento costituisce la base per la determinazione della tariffa nonché per orientare e graduare nel tempo gli adeguamenti tariffari derivanti dall'applicazione del presente decreto.</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8. La tariffa è determinata dagli enti locali, anche in relazione al piano finanziario degli interventi relativi al servizio.</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9. La tariffa è applicata dai soggetti gestori nel rispetto della convenzione e del relativo disciplinare.</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10. Nella modulazione della tariffa sono assicurate agevolazioni per le utenze domestiche e per la raccolta differenziata delle frazioni umide e della altre frazioni, ad eccezione della raccolta differenziata dei rifiuti di imballaggio che resta a carico dei produttori e degli utilizzatori. È altresì assicurata la gradualità degli adeguamenti derivanti dalla applicazione del presente decreto.</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11. Per le successive determinazioni della tariffa si tiene conto degli obiettivi di miglioramento della produttività e della qualità del servizio fornito e del tasso di inflazione programmato.</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12. L'eventuale modulazione della tariffa tiene conto degli investimenti effettuati dai Comuni che risultino utili ai fini dell'organizzazione del servizio.</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13. La tariffa è riscossa dal soggetto che gestisce il servizio.</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14. Sulla tariffa è applicato un coefficiente di riduzione proporzionale alle quantità di rifiuti assimilati che il produttore dimostri di aver avviato al recupero mediante attestazione rilasciata dal soggetto che effettua l'attività di recupero dei rifiuti stessi.</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 xml:space="preserve">15. La riscossione volontaria e coattiva della tariffa può essere effettuata con l'obbligo del non riscosso per riscosso, tramite ruolo secondo le disposizioni del </w:t>
      </w:r>
      <w:hyperlink r:id="rId11" w:history="1">
        <w:r w:rsidRPr="00B770C9">
          <w:rPr>
            <w:rFonts w:ascii="Times New Roman" w:eastAsia="Times New Roman" w:hAnsi="Times New Roman" w:cs="Times New Roman"/>
            <w:color w:val="002060"/>
            <w:sz w:val="24"/>
            <w:szCs w:val="24"/>
            <w:u w:val="single"/>
            <w:lang w:eastAsia="it-IT"/>
          </w:rPr>
          <w:t>decreto del Presidente della Repubblica 29 settembre 1973, n. 602</w:t>
        </w:r>
      </w:hyperlink>
      <w:r w:rsidRPr="00B770C9">
        <w:rPr>
          <w:rFonts w:ascii="Times New Roman" w:eastAsia="Times New Roman" w:hAnsi="Times New Roman" w:cs="Times New Roman"/>
          <w:color w:val="002060"/>
          <w:sz w:val="24"/>
          <w:szCs w:val="24"/>
          <w:lang w:eastAsia="it-IT"/>
        </w:rPr>
        <w:t xml:space="preserve"> e del </w:t>
      </w:r>
      <w:hyperlink r:id="rId12" w:history="1">
        <w:r w:rsidRPr="00B770C9">
          <w:rPr>
            <w:rFonts w:ascii="Times New Roman" w:eastAsia="Times New Roman" w:hAnsi="Times New Roman" w:cs="Times New Roman"/>
            <w:color w:val="002060"/>
            <w:sz w:val="24"/>
            <w:szCs w:val="24"/>
            <w:u w:val="single"/>
            <w:lang w:eastAsia="it-IT"/>
          </w:rPr>
          <w:t>decreto del Presidente della Repubblica 28 gennaio 1988, n. 43.</w:t>
        </w:r>
      </w:hyperlink>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16. In via sperimentale i Comuni possono attivare il sistema tariffario anche prima del termine di cui al comma 1.</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17. È fatta salva l'applicazione del tributo ambientale di cui all'</w:t>
      </w:r>
      <w:hyperlink r:id="rId13" w:history="1">
        <w:r w:rsidRPr="00B770C9">
          <w:rPr>
            <w:rFonts w:ascii="Times New Roman" w:eastAsia="Times New Roman" w:hAnsi="Times New Roman" w:cs="Times New Roman"/>
            <w:color w:val="002060"/>
            <w:sz w:val="24"/>
            <w:szCs w:val="24"/>
            <w:u w:val="single"/>
            <w:lang w:eastAsia="it-IT"/>
          </w:rPr>
          <w:t>articolo 19</w:t>
        </w:r>
      </w:hyperlink>
      <w:r w:rsidRPr="00B770C9">
        <w:rPr>
          <w:rFonts w:ascii="Times New Roman" w:eastAsia="Times New Roman" w:hAnsi="Times New Roman" w:cs="Times New Roman"/>
          <w:color w:val="002060"/>
          <w:sz w:val="24"/>
          <w:szCs w:val="24"/>
          <w:lang w:eastAsia="it-IT"/>
        </w:rPr>
        <w:t xml:space="preserve"> del decreto legislativo 30 dicembre 1992, n. 504.] (5)</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 xml:space="preserve">(1) L' </w:t>
      </w:r>
      <w:hyperlink r:id="rId14" w:history="1">
        <w:r w:rsidRPr="00B770C9">
          <w:rPr>
            <w:rFonts w:ascii="Times New Roman" w:eastAsia="Times New Roman" w:hAnsi="Times New Roman" w:cs="Times New Roman"/>
            <w:color w:val="002060"/>
            <w:sz w:val="24"/>
            <w:szCs w:val="24"/>
            <w:u w:val="single"/>
            <w:lang w:eastAsia="it-IT"/>
          </w:rPr>
          <w:t>art. 1</w:t>
        </w:r>
      </w:hyperlink>
      <w:r w:rsidRPr="00B770C9">
        <w:rPr>
          <w:rFonts w:ascii="Times New Roman" w:eastAsia="Times New Roman" w:hAnsi="Times New Roman" w:cs="Times New Roman"/>
          <w:color w:val="002060"/>
          <w:sz w:val="24"/>
          <w:szCs w:val="24"/>
          <w:lang w:eastAsia="it-IT"/>
        </w:rPr>
        <w:t>, L. 09.12. 1998, n. 426 (G.U. 08.11.1997, n. 261) ha così modificato la data di decorrenza.</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(2) Il presente comma è stato così modificato dall'art. 1, L. 09.12. 1998, n. 426 (G.U. 08.11.1997, n. 261).</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 xml:space="preserve">(3) Le parole da: " dai termini previsti dal regime transitorio, " fino alla fine del comma, sono così sostituite dall' </w:t>
      </w:r>
      <w:hyperlink r:id="rId15" w:history="1">
        <w:r w:rsidRPr="00B770C9">
          <w:rPr>
            <w:rFonts w:ascii="Times New Roman" w:eastAsia="Times New Roman" w:hAnsi="Times New Roman" w:cs="Times New Roman"/>
            <w:color w:val="002060"/>
            <w:sz w:val="24"/>
            <w:szCs w:val="24"/>
            <w:u w:val="single"/>
            <w:lang w:eastAsia="it-IT"/>
          </w:rPr>
          <w:t>art.33</w:t>
        </w:r>
      </w:hyperlink>
      <w:r w:rsidRPr="00B770C9">
        <w:rPr>
          <w:rFonts w:ascii="Times New Roman" w:eastAsia="Times New Roman" w:hAnsi="Times New Roman" w:cs="Times New Roman"/>
          <w:color w:val="002060"/>
          <w:sz w:val="24"/>
          <w:szCs w:val="24"/>
          <w:lang w:eastAsia="it-IT"/>
        </w:rPr>
        <w:t xml:space="preserve">, </w:t>
      </w:r>
      <w:hyperlink r:id="rId16" w:history="1">
        <w:r w:rsidRPr="00B770C9">
          <w:rPr>
            <w:rFonts w:ascii="Times New Roman" w:eastAsia="Times New Roman" w:hAnsi="Times New Roman" w:cs="Times New Roman"/>
            <w:color w:val="002060"/>
            <w:sz w:val="24"/>
            <w:szCs w:val="24"/>
            <w:u w:val="single"/>
            <w:lang w:eastAsia="it-IT"/>
          </w:rPr>
          <w:t>L. 23.12.1999, n. 488</w:t>
        </w:r>
      </w:hyperlink>
      <w:r w:rsidRPr="00B770C9">
        <w:rPr>
          <w:rFonts w:ascii="Times New Roman" w:eastAsia="Times New Roman" w:hAnsi="Times New Roman" w:cs="Times New Roman"/>
          <w:color w:val="002060"/>
          <w:sz w:val="24"/>
          <w:szCs w:val="24"/>
          <w:lang w:eastAsia="it-IT"/>
        </w:rPr>
        <w:t xml:space="preserve"> (G.U. 27.12.1999, n. 302, S.O. n. 227/L), con decorrenza dal 01.01.2000. Si riporta, di seguito, il testo previgente: "dal 1° gennaio 2000".</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t>(4) Il presente comma è stato aggiunto dall'</w:t>
      </w:r>
      <w:hyperlink r:id="rId17" w:history="1">
        <w:r w:rsidRPr="00B770C9">
          <w:rPr>
            <w:rFonts w:ascii="Times New Roman" w:eastAsia="Times New Roman" w:hAnsi="Times New Roman" w:cs="Times New Roman"/>
            <w:color w:val="002060"/>
            <w:sz w:val="24"/>
            <w:szCs w:val="24"/>
            <w:u w:val="single"/>
            <w:lang w:eastAsia="it-IT"/>
          </w:rPr>
          <w:t>art. 33,</w:t>
        </w:r>
      </w:hyperlink>
      <w:r w:rsidRPr="00B770C9">
        <w:rPr>
          <w:rFonts w:ascii="Times New Roman" w:eastAsia="Times New Roman" w:hAnsi="Times New Roman" w:cs="Times New Roman"/>
          <w:color w:val="002060"/>
          <w:sz w:val="24"/>
          <w:szCs w:val="24"/>
          <w:lang w:eastAsia="it-IT"/>
        </w:rPr>
        <w:t xml:space="preserve"> L. 23.12.1999, n. 488 (G.U. 27.12.1999, n. 302, S.O. n. 227/L), con decorrenza dal 01.01.2000.</w:t>
      </w:r>
    </w:p>
    <w:p w:rsidR="00B770C9" w:rsidRPr="00B770C9" w:rsidRDefault="00B770C9" w:rsidP="00B770C9">
      <w:pPr>
        <w:spacing w:before="100" w:beforeAutospacing="1" w:after="100" w:afterAutospacing="1" w:line="240" w:lineRule="auto"/>
        <w:rPr>
          <w:rFonts w:ascii="Times New Roman" w:eastAsia="Times New Roman" w:hAnsi="Times New Roman" w:cs="Times New Roman"/>
          <w:color w:val="002060"/>
          <w:sz w:val="24"/>
          <w:szCs w:val="24"/>
          <w:lang w:eastAsia="it-IT"/>
        </w:rPr>
      </w:pPr>
      <w:r w:rsidRPr="00B770C9">
        <w:rPr>
          <w:rFonts w:ascii="Times New Roman" w:eastAsia="Times New Roman" w:hAnsi="Times New Roman" w:cs="Times New Roman"/>
          <w:color w:val="002060"/>
          <w:sz w:val="24"/>
          <w:szCs w:val="24"/>
          <w:lang w:eastAsia="it-IT"/>
        </w:rPr>
        <w:lastRenderedPageBreak/>
        <w:t>(5) Il presente articolo è stato abrogato dall'</w:t>
      </w:r>
      <w:hyperlink r:id="rId18" w:history="1">
        <w:r w:rsidRPr="00B770C9">
          <w:rPr>
            <w:rFonts w:ascii="Times New Roman" w:eastAsia="Times New Roman" w:hAnsi="Times New Roman" w:cs="Times New Roman"/>
            <w:color w:val="002060"/>
            <w:sz w:val="24"/>
            <w:szCs w:val="24"/>
            <w:u w:val="single"/>
            <w:lang w:eastAsia="it-IT"/>
          </w:rPr>
          <w:t>art. 264</w:t>
        </w:r>
      </w:hyperlink>
      <w:r w:rsidRPr="00B770C9">
        <w:rPr>
          <w:rFonts w:ascii="Times New Roman" w:eastAsia="Times New Roman" w:hAnsi="Times New Roman" w:cs="Times New Roman"/>
          <w:color w:val="002060"/>
          <w:sz w:val="24"/>
          <w:szCs w:val="24"/>
          <w:lang w:eastAsia="it-IT"/>
        </w:rPr>
        <w:t xml:space="preserve"> </w:t>
      </w:r>
      <w:proofErr w:type="spellStart"/>
      <w:r w:rsidRPr="00B770C9">
        <w:rPr>
          <w:rFonts w:ascii="Times New Roman" w:eastAsia="Times New Roman" w:hAnsi="Times New Roman" w:cs="Times New Roman"/>
          <w:color w:val="002060"/>
          <w:sz w:val="24"/>
          <w:szCs w:val="24"/>
          <w:lang w:eastAsia="it-IT"/>
        </w:rPr>
        <w:t>D.Lgs.</w:t>
      </w:r>
      <w:proofErr w:type="spellEnd"/>
      <w:r w:rsidRPr="00B770C9">
        <w:rPr>
          <w:rFonts w:ascii="Times New Roman" w:eastAsia="Times New Roman" w:hAnsi="Times New Roman" w:cs="Times New Roman"/>
          <w:color w:val="002060"/>
          <w:sz w:val="24"/>
          <w:szCs w:val="24"/>
          <w:lang w:eastAsia="it-IT"/>
        </w:rPr>
        <w:t xml:space="preserve"> 03.04.2006, n. 152, con decorrenza dal 29.04.2006. A norma del medesimo articolo 264, i provvedimenti attuativi del presente provvedimento continuano ad applicarsi sino alla data di entrata in vigore dei provvedimenti attuativi previsti dalla parte quarta del </w:t>
      </w:r>
      <w:hyperlink r:id="rId19" w:history="1">
        <w:proofErr w:type="spellStart"/>
        <w:r w:rsidRPr="00B770C9">
          <w:rPr>
            <w:rFonts w:ascii="Times New Roman" w:eastAsia="Times New Roman" w:hAnsi="Times New Roman" w:cs="Times New Roman"/>
            <w:color w:val="002060"/>
            <w:sz w:val="24"/>
            <w:szCs w:val="24"/>
            <w:u w:val="single"/>
            <w:lang w:eastAsia="it-IT"/>
          </w:rPr>
          <w:t>D.Lgs.</w:t>
        </w:r>
        <w:proofErr w:type="spellEnd"/>
        <w:r w:rsidRPr="00B770C9">
          <w:rPr>
            <w:rFonts w:ascii="Times New Roman" w:eastAsia="Times New Roman" w:hAnsi="Times New Roman" w:cs="Times New Roman"/>
            <w:color w:val="002060"/>
            <w:sz w:val="24"/>
            <w:szCs w:val="24"/>
            <w:u w:val="single"/>
            <w:lang w:eastAsia="it-IT"/>
          </w:rPr>
          <w:t xml:space="preserve"> 152/2006.</w:t>
        </w:r>
      </w:hyperlink>
    </w:p>
    <w:p w:rsidR="002C723C" w:rsidRPr="00B770C9" w:rsidRDefault="002C723C">
      <w:pPr>
        <w:rPr>
          <w:color w:val="002060"/>
        </w:rPr>
      </w:pPr>
    </w:p>
    <w:sectPr w:rsidR="002C723C" w:rsidRPr="00B770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C9"/>
    <w:rsid w:val="002C723C"/>
    <w:rsid w:val="00B77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5270">
      <w:bodyDiv w:val="1"/>
      <w:marLeft w:val="0"/>
      <w:marRight w:val="0"/>
      <w:marTop w:val="0"/>
      <w:marBottom w:val="0"/>
      <w:divBdr>
        <w:top w:val="none" w:sz="0" w:space="0" w:color="auto"/>
        <w:left w:val="none" w:sz="0" w:space="0" w:color="auto"/>
        <w:bottom w:val="none" w:sz="0" w:space="0" w:color="auto"/>
        <w:right w:val="none" w:sz="0" w:space="0" w:color="auto"/>
      </w:divBdr>
      <w:divsChild>
        <w:div w:id="1941326857">
          <w:marLeft w:val="120"/>
          <w:marRight w:val="75"/>
          <w:marTop w:val="75"/>
          <w:marBottom w:val="75"/>
          <w:divBdr>
            <w:top w:val="none" w:sz="0" w:space="0" w:color="auto"/>
            <w:left w:val="none" w:sz="0" w:space="0" w:color="auto"/>
            <w:bottom w:val="none" w:sz="0" w:space="0" w:color="auto"/>
            <w:right w:val="none" w:sz="0" w:space="0" w:color="auto"/>
          </w:divBdr>
        </w:div>
        <w:div w:id="392700437">
          <w:marLeft w:val="120"/>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D:4543;1" TargetMode="External"/><Relationship Id="rId13" Type="http://schemas.openxmlformats.org/officeDocument/2006/relationships/hyperlink" Target="ID:6088;1" TargetMode="External"/><Relationship Id="rId18" Type="http://schemas.openxmlformats.org/officeDocument/2006/relationships/hyperlink" Target="ID:712696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ID:15356;1" TargetMode="External"/><Relationship Id="rId12" Type="http://schemas.openxmlformats.org/officeDocument/2006/relationships/hyperlink" Target="IDP:2408;1" TargetMode="External"/><Relationship Id="rId17" Type="http://schemas.openxmlformats.org/officeDocument/2006/relationships/hyperlink" Target="ID:1834879;1" TargetMode="External"/><Relationship Id="rId2" Type="http://schemas.microsoft.com/office/2007/relationships/stylesWithEffects" Target="stylesWithEffects.xml"/><Relationship Id="rId16" Type="http://schemas.openxmlformats.org/officeDocument/2006/relationships/hyperlink" Target="IDP:21647;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ID:507444;1" TargetMode="External"/><Relationship Id="rId11" Type="http://schemas.openxmlformats.org/officeDocument/2006/relationships/hyperlink" Target="IDP:3811;1" TargetMode="External"/><Relationship Id="rId5" Type="http://schemas.openxmlformats.org/officeDocument/2006/relationships/hyperlink" Target="ID:25320;1" TargetMode="External"/><Relationship Id="rId15" Type="http://schemas.openxmlformats.org/officeDocument/2006/relationships/hyperlink" Target="ID:1834879;1" TargetMode="External"/><Relationship Id="rId10" Type="http://schemas.openxmlformats.org/officeDocument/2006/relationships/hyperlink" Target="ID:473708;1" TargetMode="External"/><Relationship Id="rId19" Type="http://schemas.openxmlformats.org/officeDocument/2006/relationships/hyperlink" Target="IDP:125460;1" TargetMode="External"/><Relationship Id="rId4" Type="http://schemas.openxmlformats.org/officeDocument/2006/relationships/webSettings" Target="webSettings.xml"/><Relationship Id="rId9" Type="http://schemas.openxmlformats.org/officeDocument/2006/relationships/hyperlink" Target="IDP:952;1" TargetMode="External"/><Relationship Id="rId14" Type="http://schemas.openxmlformats.org/officeDocument/2006/relationships/hyperlink" Target="ID:29822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Company>Hewlett-Packard Company</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XFrancesco Guiso</dc:creator>
  <cp:lastModifiedBy>XFrancesco Guiso</cp:lastModifiedBy>
  <cp:revision>1</cp:revision>
  <dcterms:created xsi:type="dcterms:W3CDTF">2018-01-17T10:40:00Z</dcterms:created>
  <dcterms:modified xsi:type="dcterms:W3CDTF">2018-01-17T10:40:00Z</dcterms:modified>
</cp:coreProperties>
</file>